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14" w:rsidRPr="00D7307E" w:rsidRDefault="00D7307E">
      <w:pPr>
        <w:rPr>
          <w:rFonts w:ascii="TimesNewRomanPSMT" w:hAnsi="TimesNewRomanPSMT" w:cs="TimesNewRomanPSMT"/>
          <w:b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b/>
          <w:sz w:val="24"/>
          <w:szCs w:val="24"/>
          <w:lang w:val="en-US"/>
        </w:rPr>
        <w:t>METHODS OF TAX AVOIDANCE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 the past, two basic strategies (which can be combined) have been mainly used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achieve these ends: increasing the prices of payments and changing the type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payments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To take some simple examples, a local subsidiary operating an assembly plant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pay inflated prices for the components and the technical and management services 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purchases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from related companies; or a nonresident parent company can invest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subsidiary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way of loan capital rather than share capital and receive interest payments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deductible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the subsidiary) instead of dividends (usually not deductible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subsidiary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). Similar results can be produced by reducing the amount of payments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goods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or services to the local branch or subsidiary for goods or services it provides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other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(nonresident) members of the group. Recently, international tax planning has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become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more sophisticated along with the financial markets. The following discussion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start with the simpler methods of tax avoidance and then move to more recent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4033FC">
        <w:rPr>
          <w:rFonts w:ascii="TimesNewRomanPSMT" w:hAnsi="TimesNewRomanPSMT" w:cs="TimesNewRomanPSMT"/>
          <w:sz w:val="24"/>
          <w:szCs w:val="24"/>
          <w:lang w:val="en-US"/>
        </w:rPr>
        <w:t>techniques</w:t>
      </w:r>
      <w:proofErr w:type="gramEnd"/>
      <w:r w:rsidRPr="004033FC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1. Transfer Pricing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“Transfer pricing” is the general term used to refer to the problem of allocating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among the parts of a corporate group. For the group as a whole, all that matters 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end of the day is the after-tax profit of the group rather than of its individual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members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The prices charged within the group for goods or services provided and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financing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methods used between the members of the group simply serve as means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moving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funds around the group and do not in a commercial sense create profits for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group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Hence, there is often no obstacle to charging any price or structuring a transaction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any way within the group, and the fair or proper distribution of the overall group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among the companies in the group is often a secondary consideration to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consequences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. In financial accounting,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which seeks to determine profits for reporting to</w:t>
      </w:r>
      <w:proofErr w:type="gram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shareholders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others with financial interests in the group, the response is to require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accounts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the enterprise (group) as a whole and to eliminate transactions within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group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as well as (in most countries) accounts for each company in the group.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 taxation, it is necessary to allocate profits among the companies in the group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because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under international tax norms a country will tax a nonresident only on the profits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sourced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that country. While the country can tax a local (resident) subsidiary on its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worldwide, affairs within a multinational group will usually be arranged so that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subsidiary only has profits sourced in that country. In theory, this allocation of profits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effected in one of two main ways. A country can take the worldwide profits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group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allocate some portion of those profits to a source in that country, thus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bypassing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need to consider the pricing and nature of transactions within the group.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Alternatively, the country can seek to determine the profits of a local branch or subsidiary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separately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from the rest of the group on the basis of the pricing and nature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transactions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engaged in by the branch or subsidiary with the rest of the group.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former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case, it is necessary to have allocation rules based on formulary criteria like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relative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assets, revenues, or salaries (and so this method is often referred to as formulary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apportionment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), while in the latter case rules are needed to deal with the problems arising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from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special nature of transactions within the group.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 arguments range back and forth as to which method is preferable,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practical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terms countries pursuing a policy of negotiating tax treaties are automatically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tied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into the separate accounting method because articles 7 and 9 of the OECD and UN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Model treaties operate on the basis of taxing each company within the group separately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dealing with problems of pricing and the nature of transactions on the basis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arm’s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-length principle. Under this principle, adjustments are made to transactions within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group to reflect the terms and nature of transactions that would have been entered into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transaction had been made with an independent third party rather than with another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part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group.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 drafting issue for the domestic law is that the arm’s-length principle should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provided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both branches and subsidiaries. This is most easily done by using language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similar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that found in tax treaties. Such an approach ensures that there is a basis in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domestic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law for making transfer pricing adjustments. In many countries, it is not clear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whether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treaties on their own would provide a sufficient basis for such adjustments,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in any event, it is necessary to have the rules in the case of residents of countries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which there is no tax treaty in force. Using statutory language based on treaties has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added advantage of giving a clear signal that the country intends to follow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international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norms.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Article 7(4) of the OECD and UN Models provides that a country can maintain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customary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method of calculating the profits of branches, so long as the result is in accord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arm’s-length principle (a further provision in each case provides for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application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same method from year to year unless there is good reason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contrary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). Some countries use simplified profit calculation methods for branch cases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such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a specific percentage of turnover of the branch). These methods can be retained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legislation insofar as they reasonably reflect actual profits and can be used in cases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where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treaties are involved. The application of the arm’s-length principle to branches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more complex in one way than in the case of subsidiaries, because the branch and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head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office are part of the same legal person, and transactions cannot be sensibly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reconstructed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some cases. For example, it is often difficult to allocate notional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ownership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property between head office and branch.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Simplified methods in domestic legislation are not generally regarded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consistent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article 9 of the OECD and UN Models in the case of related companies,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but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this does not mean that countries are confined to making tax adjustments between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related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companies only in international transactions and on arm’s-length principles. Some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apply their transfer pricing rules in purely domestic cases; where there are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different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rates for different kinds of income or business, taxpayers can use transfer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pricing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move profits to categories of income or business with lower tax rates. There are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also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number of reasons why countries may wish to have special pricing rules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specific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transactions. For example, some countries treat all disposals of property without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consideration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having been made for market value— whether between related parties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not—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 others treat gifts of property to charities as having been made for the higher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cost or market value. These rules do not directly deal with transfer pricing issues.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extent that they can apply to international transactions between related parties, they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 generally be contrary to tax treaty arm’s-length pricing rules. How all these rules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coordinated within the tax legislation depends on the specific rules adopted and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should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reviewed carefully in each country.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 achieve the application of the international arm’s-length principle in practice,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administration starts with the accounts of the local branch or subsidiary, makes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usual adjustments to reflect differences between financial accounting and tax rules,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then makes such further adjustments in accordance with the arm’s-length principle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necessary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Nontax considerations may lead to the group preparing its branch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subsidiary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accounts on this basis in any event. For management purposes, the group will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wish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know the real profitability of its separate parts, local employees may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remunerated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part on the basis of the local contribution to group profit, and local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accounting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rules will likely require that the financial accounts give a proper view of the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branch or subsidiary. In practice, the tax administration may use simplified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methods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various financial ratios that are similar to formulary apportionment in order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test whether the profits reported by a local branch or subsidiary fall within acceptable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boundaries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These methods frequently operate as a means of selecting taxpayers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further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checking (audit). The use of such administrative methods will not be contrary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treaty rules so long as they are being used as a means to the end of establishing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arm’s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-length price.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increasing integration of the activities of corporate groups, the growing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importance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unique intragroup intangibles and services, and the sophistication of their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financing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operations mean, however, that application of the arm’s-length standard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becoming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more difficult, both conceptually and practically. The problems have been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addressed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part by the OECD, which has updated and expanded its guidance on this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issue.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125</w:t>
      </w:r>
      <w:proofErr w:type="gramEnd"/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OECD standards represent the internationally accepted norms giving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content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the arm’s-length principle.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Transfer pricing adjustments on the arm’s-length principle have traditionally been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viewed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involving price only (as the name suggests) and not the reconstruction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transactions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sense of disregarding the nominal transaction between the related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substituting another arrangement for tax purposes. The transfer pricing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guidelines,</w:t>
      </w:r>
      <w:proofErr w:type="gramEnd"/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126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 recognizing that adjusting prices of actual transactions is the norm,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permit tax administrations to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transactions in two exceptional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circumstances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first, “where the economic substance of a transaction differs from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form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” and secondly, where the “arrangements made in relation to the transaction, viewed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their totality, differ from those which would have been adopted by independent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enterprises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behaving in a commercially rational manner and the actual structure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practically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impedes the tax administration from determining an appropriate transfer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price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.”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127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example of thin capitalization is given for the first category (see next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heading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 and, for the second, the outright transfer of intangible property before its value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fully known when independent parties could have been expected to enter instead into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continuing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research agreement (under which payments would not be irrevocably fixed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advance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Increasingly, countries are enacting general provisions in their tax laws directed</w:t>
      </w:r>
    </w:p>
    <w:p w:rsidR="004033FC" w:rsidRPr="00D7307E" w:rsidRDefault="00D7307E" w:rsidP="004033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against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avoidance, which give powers to reconstruct transactions.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128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It seems to be</w:t>
      </w:r>
      <w:r w:rsidR="004033FC" w:rsidRPr="004033FC">
        <w:rPr>
          <w:rFonts w:cs="TimesNewRomanPSMT"/>
          <w:sz w:val="24"/>
          <w:szCs w:val="24"/>
          <w:lang w:val="en-US"/>
        </w:rPr>
        <w:t xml:space="preserve"> </w:t>
      </w:r>
      <w:r w:rsidR="004033FC" w:rsidRPr="00D7307E">
        <w:rPr>
          <w:rFonts w:ascii="TimesNewRomanPSMT" w:hAnsi="TimesNewRomanPSMT" w:cs="TimesNewRomanPSMT"/>
          <w:sz w:val="24"/>
          <w:szCs w:val="24"/>
          <w:lang w:val="en-US"/>
        </w:rPr>
        <w:t>increasingly accepted by the OECD that such rules are not in conflict with tax treaty</w:t>
      </w:r>
    </w:p>
    <w:p w:rsidR="00D7307E" w:rsidRPr="004033FC" w:rsidRDefault="004033FC" w:rsidP="004033F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obligations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can be applied to international transactions.</w:t>
      </w:r>
    </w:p>
    <w:p w:rsidR="004033FC" w:rsidRPr="004033FC" w:rsidRDefault="004033FC" w:rsidP="00D7307E">
      <w:pPr>
        <w:autoSpaceDE w:val="0"/>
        <w:autoSpaceDN w:val="0"/>
        <w:adjustRightInd w:val="0"/>
        <w:spacing w:after="0" w:line="240" w:lineRule="auto"/>
        <w:rPr>
          <w:rFonts w:cs="TimesNewRomanPSMT"/>
          <w:sz w:val="13"/>
          <w:szCs w:val="13"/>
          <w:lang w:val="en-US"/>
        </w:rPr>
      </w:pPr>
    </w:p>
    <w:p w:rsidR="00D7307E" w:rsidRPr="004033FC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  <w:r w:rsidRPr="004033FC">
        <w:rPr>
          <w:rFonts w:ascii="TimesNewRomanPSMT" w:hAnsi="TimesNewRomanPSMT" w:cs="TimesNewRomanPSMT"/>
          <w:sz w:val="18"/>
          <w:szCs w:val="18"/>
          <w:lang w:val="en-US"/>
        </w:rPr>
        <w:t>125OECD, Attribution of Income to Permanent Establishments (1994); OECD, Transfer Pricing Guidelines</w:t>
      </w:r>
    </w:p>
    <w:p w:rsidR="00D7307E" w:rsidRPr="004033FC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  <w:proofErr w:type="gramStart"/>
      <w:r w:rsidRPr="004033FC">
        <w:rPr>
          <w:rFonts w:ascii="TimesNewRomanPSMT" w:hAnsi="TimesNewRomanPSMT" w:cs="TimesNewRomanPSMT"/>
          <w:sz w:val="18"/>
          <w:szCs w:val="18"/>
          <w:lang w:val="en-US"/>
        </w:rPr>
        <w:t>for</w:t>
      </w:r>
      <w:proofErr w:type="gramEnd"/>
      <w:r w:rsidRPr="004033FC">
        <w:rPr>
          <w:rFonts w:ascii="TimesNewRomanPSMT" w:hAnsi="TimesNewRomanPSMT" w:cs="TimesNewRomanPSMT"/>
          <w:sz w:val="18"/>
          <w:szCs w:val="18"/>
          <w:lang w:val="en-US"/>
        </w:rPr>
        <w:t xml:space="preserve"> Multinational Enterprises and Tax Administrations (1995, updated 1996, 1997). The problem that</w:t>
      </w:r>
    </w:p>
    <w:p w:rsidR="00D7307E" w:rsidRPr="004033FC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  <w:proofErr w:type="gramStart"/>
      <w:r w:rsidRPr="004033FC">
        <w:rPr>
          <w:rFonts w:ascii="TimesNewRomanPSMT" w:hAnsi="TimesNewRomanPSMT" w:cs="TimesNewRomanPSMT"/>
          <w:sz w:val="18"/>
          <w:szCs w:val="18"/>
          <w:lang w:val="en-US"/>
        </w:rPr>
        <w:t>transfer</w:t>
      </w:r>
      <w:proofErr w:type="gramEnd"/>
      <w:r w:rsidRPr="004033FC">
        <w:rPr>
          <w:rFonts w:ascii="TimesNewRomanPSMT" w:hAnsi="TimesNewRomanPSMT" w:cs="TimesNewRomanPSMT"/>
          <w:sz w:val="18"/>
          <w:szCs w:val="18"/>
          <w:lang w:val="en-US"/>
        </w:rPr>
        <w:t xml:space="preserve"> pricing currently represents for developing and transition countries is one of administrative</w:t>
      </w:r>
    </w:p>
    <w:p w:rsidR="00D7307E" w:rsidRPr="004033FC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8"/>
          <w:szCs w:val="18"/>
          <w:lang w:val="en-US"/>
        </w:rPr>
      </w:pPr>
      <w:proofErr w:type="gramStart"/>
      <w:r w:rsidRPr="004033FC">
        <w:rPr>
          <w:rFonts w:ascii="TimesNewRomanPSMT" w:hAnsi="TimesNewRomanPSMT" w:cs="TimesNewRomanPSMT"/>
          <w:sz w:val="18"/>
          <w:szCs w:val="18"/>
          <w:lang w:val="en-US"/>
        </w:rPr>
        <w:t>capacity</w:t>
      </w:r>
      <w:proofErr w:type="gramEnd"/>
      <w:r w:rsidRPr="004033FC">
        <w:rPr>
          <w:rFonts w:ascii="TimesNewRomanPSMT" w:hAnsi="TimesNewRomanPSMT" w:cs="TimesNewRomanPSMT"/>
          <w:sz w:val="18"/>
          <w:szCs w:val="18"/>
          <w:lang w:val="en-US"/>
        </w:rPr>
        <w:t>. The development of advance pricing arrangements with the encouragement of the OECD (</w:t>
      </w:r>
      <w:r w:rsidRPr="004033FC">
        <w:rPr>
          <w:rFonts w:ascii="TimesNewRomanPS-ItalicMT" w:hAnsi="TimesNewRomanPS-ItalicMT" w:cs="TimesNewRomanPS-ItalicMT"/>
          <w:i/>
          <w:iCs/>
          <w:sz w:val="18"/>
          <w:szCs w:val="18"/>
          <w:lang w:val="en-US"/>
        </w:rPr>
        <w:t>see</w:t>
      </w:r>
    </w:p>
    <w:p w:rsidR="00D7307E" w:rsidRPr="004033FC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  <w:proofErr w:type="gramStart"/>
      <w:r w:rsidRPr="004033FC">
        <w:rPr>
          <w:rFonts w:ascii="TimesNewRomanPS-ItalicMT" w:hAnsi="TimesNewRomanPS-ItalicMT" w:cs="TimesNewRomanPS-ItalicMT"/>
          <w:i/>
          <w:iCs/>
          <w:sz w:val="18"/>
          <w:szCs w:val="18"/>
          <w:lang w:val="en-US"/>
        </w:rPr>
        <w:t>infra</w:t>
      </w:r>
      <w:proofErr w:type="gramEnd"/>
      <w:r w:rsidRPr="004033FC">
        <w:rPr>
          <w:rFonts w:ascii="TimesNewRomanPS-ItalicMT" w:hAnsi="TimesNewRomanPS-ItalicMT" w:cs="TimesNewRomanPS-ItalicMT"/>
          <w:i/>
          <w:iCs/>
          <w:sz w:val="18"/>
          <w:szCs w:val="18"/>
          <w:lang w:val="en-US"/>
        </w:rPr>
        <w:t xml:space="preserve"> </w:t>
      </w:r>
      <w:r w:rsidRPr="004033FC">
        <w:rPr>
          <w:rFonts w:ascii="TimesNewRomanPSMT" w:hAnsi="TimesNewRomanPSMT" w:cs="TimesNewRomanPSMT"/>
          <w:sz w:val="18"/>
          <w:szCs w:val="18"/>
          <w:lang w:val="en-US"/>
        </w:rPr>
        <w:t>note 160) may simplify the administrative task of transition and developing countries in the future by</w:t>
      </w:r>
    </w:p>
    <w:p w:rsidR="00D7307E" w:rsidRPr="004033FC" w:rsidRDefault="00D7307E" w:rsidP="00D7307E">
      <w:pPr>
        <w:rPr>
          <w:rFonts w:ascii="TimesNewRomanPSMT" w:hAnsi="TimesNewRomanPSMT" w:cs="TimesNewRomanPSMT"/>
          <w:sz w:val="18"/>
          <w:szCs w:val="18"/>
          <w:lang w:val="en-US"/>
        </w:rPr>
      </w:pPr>
      <w:proofErr w:type="gramStart"/>
      <w:r w:rsidRPr="004033FC">
        <w:rPr>
          <w:rFonts w:ascii="TimesNewRomanPSMT" w:hAnsi="TimesNewRomanPSMT" w:cs="TimesNewRomanPSMT"/>
          <w:sz w:val="18"/>
          <w:szCs w:val="18"/>
          <w:lang w:val="en-US"/>
        </w:rPr>
        <w:t>supplying</w:t>
      </w:r>
      <w:proofErr w:type="gramEnd"/>
      <w:r w:rsidRPr="004033FC">
        <w:rPr>
          <w:rFonts w:ascii="TimesNewRomanPSMT" w:hAnsi="TimesNewRomanPSMT" w:cs="TimesNewRomanPSMT"/>
          <w:sz w:val="18"/>
          <w:szCs w:val="18"/>
          <w:lang w:val="en-US"/>
        </w:rPr>
        <w:t xml:space="preserve"> readily applicable formulas for various economic sectors.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129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 such rules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conjunction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transfer pricing rules expressed in the general terms suggested above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deal with many problem situations, they can leave taxpayers uncertain as to their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position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Accordingly, countries are increasingly enacting more specific provisions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particular cases and to spell out the rules in more detail, as, shown for example,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under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next heading.</w:t>
      </w:r>
    </w:p>
    <w:p w:rsidR="004033FC" w:rsidRDefault="004033FC" w:rsidP="00D7307E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</w:rPr>
      </w:pP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2. Thin Capitalization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Thin capitalization is the practice of excessively funding a branch or subsidiary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interest-bearing loans from related parties rather than with share capital.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130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fact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is usually deductible for the borrower and taxed to the nonresident lender at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low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rate of withholding tax (or not at all in some cases) while in most cases company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funding dividends are fully taxed makes the practice attractive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taxwise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nonresident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investor. Although it is possible to deal with these problems under the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arm’slength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principle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taxpayers and tax administrators often want more guidance on the level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permissible loan funding for a subsidiary than to be told that related party loans can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made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up to the point and on the terms that an independent third-party lender would allow,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having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regard to the other liabilities of the subsidiary. Thin capitalization rules seek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this problem by denying deductions for interest in defined cases (and possibly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recharacterizing</w:t>
      </w:r>
      <w:proofErr w:type="spellEnd"/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payments of interest as dividends).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 law provisions in this area can be drafted in a large variety of ways. One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important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constraint is the nondiscrimination article in tax treaties. In its typical OECD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UN form, this article overrides thin capitalization rules that apply only to payments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to related nonresidents by resident enterprises or by branches of nonresidents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unless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rules are applied in accordance with arm’s-length principles. Another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constraint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arises from tax administration concerns. If loans by certain lenders only, such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related nonresidents, are affected by the rules, it is possible to get around this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limitation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through back-to-back loans.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131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Rules can be drafted to deem such loans to have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been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made by the parent company—and so subject to the thin capitalization limits—but 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very difficult for the tax administration in the country of the subsidiary to detect such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transactions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especially if the bank is located in a country with strict bank secrecy laws.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One possible solution to problems of this kind is to make the rules generally applicable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loans for which interest deductions are claimed. Hence, although the specific problem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arises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context of foreign direct investment, the solution for practical reasons may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across the board for all investment.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129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OECD, Taxation of New Financial Instruments (1994) and the resulting change to the Commentary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on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art. </w:t>
      </w: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11 of the OECD Model in 1995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para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.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21.1; David Ward, 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Abuse of Tax Treaties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, 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in 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Essays 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International Taxation in Honor of Sidney Roberts 397 (Herbert Alpert &amp;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Kees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van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Raad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eds. 1993).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130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generally 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International Fiscal Association, International Aspects of Thin Capitalization, 81b Cahiers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de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droit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fiscal international (1996).</w:t>
      </w:r>
    </w:p>
    <w:p w:rsidR="00D7307E" w:rsidRDefault="00D7307E" w:rsidP="00D7307E">
      <w:pPr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131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supra 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text accompanying notes 92–93.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Further issues relate to the way in which the denial of interest deductions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calculated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One common approach is to provide express ratios of loan capital to share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capital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beyond which interest deductions are denied (debt to equity rules).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132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Another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limit interest deductions by reference to a proportion of the income of the taxpayer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(earnings-stripping rules).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133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appropriate financial ratios are in each case is also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issue (anywhere between 1.5:1 and 3:1 being common for debt-equity rules) as is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application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rules to financial institutions whose business consists in borrowing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lending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which typically operate at much higher debt levels than other businesses.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following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draft suggests a possible approach to these issues.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1. A taxpayer, other than a bank or a financial institution, is denied a deduction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in excess of the product of three times the net income-producing assets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taxpayer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(a)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case of a loan denominated in the currency of </w:t>
      </w:r>
      <w:r w:rsidRPr="00D730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X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110 percent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rate charged on loans by the Central Bank of </w:t>
      </w:r>
      <w:r w:rsidRPr="00D730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X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 commercial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banks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 the last day of the preceding tax year;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(b)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case of a loan denominated in a foreign currency, 110 percent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rate charged by the U.S. Federal Reserve on U.S. dollar loans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U.S. banks on the last day of the preceding tax year.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2. The net income-producing assets of a taxpayer are assets giving rise to income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included in the gross income of the taxpayer less liabilities relating to those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assets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each averaged between the beginning and end of the tax year.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3. With the prior written permission of the tax administration, a taxpayer may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(a)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calculate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net income-producing assets on an alternative basis;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(b)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case of a loan denominated in a foreign currency other than U.S.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dollars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use a different interest rate based on the interbank rate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central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bank responsible for that currency.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4. Any excess interest that is not allowed as a deduction in a tax year solely as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result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application of this provision is treated as interest expense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taxpayer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following tax year.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Paragraph (1) limits the interest deduction to an amount obtained by multiplying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specified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rate and three times the net income-producing assets (equity) of the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taxpayer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. This draft thus provides effectively a 3:1 debt-equity ratio.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limitation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terms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related parties or nonresidents is contained in the provision for reasons already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given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Banks and other financial institutions are excluded from the provision altogether,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but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it would be possible to specify an alternative ratio for this case based on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prudential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rules of the central bank for commercial banks. Rather than specifying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amount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loans on which interest is deductible, which is the approach many countries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take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the provision directly calculates the amount of interest. This method has two effects.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It eliminates the need to calculate the amount of loans, which can be complicated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certain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cases, and deals with the problem of excessive interest rates being charged 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loans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between related parties rather than leaving this as a separate issue for the transfer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pricing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rules. If an explicit rule is to be provided for thin capitalization, it may as well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spell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out all the elements.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interest rate is specified in paragraph 1 using the base rate charged by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central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bank at the end of the previous tax year. The provision deals with loans in foreign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currency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setting an interest rate based on the international reserve currency, the U.S.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dollar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but also permits in paragraph 4 the use of other (major) currencies with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permission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tax administration. Whether a reference to foreign currency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necessary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depends on the rules adopted for dealing with foreign currency in the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legislation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which are discussed in chapter 16. If, for example, foreign currency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conversions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are dealt with by recalculating foreign currency assets and obligations at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each tax year, giving rise to income or expense accordingly, then no rule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foreign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currency is necessary in this provision. The interest rate is set by reference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previous tax year so that taxpayers know the operative rate at the beginning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relevant tax year. The central bank rate is marked up by one-tenth on the assumption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most borrowers will not be able to obtain funding at central bank rates.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net-income producing assets of the taxpayer are defined to include only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assets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give rise to income that enters the calculation of taxable income. It is assumed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this draft that interest will be deductible only to the extent that it relates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production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income included in the calculation of taxable income, which is not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position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all countries. Generally, the calculation is effectively the total assets less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liabilities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averaged between the beginning and end of the year. For resident companies,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capital and retained profits in the tax balance sheet are effectively equivalent to assets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less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liabilities (assuming there are no major categories of exempt income for such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companies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such as foreign business income). Individuals will often not have a balance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sheet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such, and so the calculations of assets less liabilities needs to be made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specifically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each case. For nonresidents, only assets giving rise to income sourced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 and taxed on a net basis after deductions enter the calculation along with their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accompanying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liabilities. Given that many countries employ final gross withholding taxes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income of nonresidents, except for income from real property and business (see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above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), the loans to which the rules apply for nonresidents are likely to be limited.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Where the income-producing assets are shares, the appropriate treatment can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more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complicated. Although dividend income is taxed in some countries at a final rate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 a gross basis for resident and nonresident shareholders, shares should be included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purpose of this draft if interest expenses relating to such income will be allowed as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deduction. It is possible, for example, for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intercorporate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dividends to be exempted so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eliminate the cascade of company taxation through chains of companies, but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interest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expenses relating to the dividend income to be deductible. The rules here need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coordinated with the interrelationship of the taxation of dividends and the allowance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deductions relating to dividend income, but beyond this general caution it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possible to be specific.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tax administration may give permission under this draft to vary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calculation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net income-producing assets where the calculations required above are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difficult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apply in the particular circumstances of the taxpayer. Interest disallowed as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under this draft is not permanently disallowed but is carried forward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treated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an interest deduction of the succeeding year. The same calculation is then done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succeeding year under this draft, and it may turn out that the interest deduction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allowed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that year. The disallowed interest is not treated as a dividend or some 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form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payment. Country practices vary widely on this aspect of thin capitalization.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Where countries also have general rules relating to characterization of investments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share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capital or loans, it will be necessary to consider how those rules should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coordinated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the thin capitalization area. Tax treaties also have standard definitions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and dividends that do not provide clear guidance in the thin capitalization area.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OECD Commentaries seem to indicate that it is permitted but not obligatory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spellStart"/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recharacterize</w:t>
      </w:r>
      <w:proofErr w:type="spellEnd"/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that is disallowed under thin capitalization rules as dividends.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134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carryover of interest deductions in the draft will need to be coordinated with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general carryover of losses in the tax legislation, although coordination is likely to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automatic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The general rule for loss carryover is likely to apply only to deductions that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allowed in a particular tax year and that exceed income; because interest in excess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permitted amount under this draft for a particular tax year is not allowed as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that year, it cannot enter such a carryover loss.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 a number of detailed issues would require elaboration in the practical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application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draft (e.g., the identification and valuation of assets and liabilities that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used in the c</w:t>
      </w:r>
      <w:bookmarkStart w:id="0" w:name="_GoBack"/>
      <w:bookmarkEnd w:id="0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alculation of net income-producing assets), what the draft conspicuously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fails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do is to define “interest.” The reason is that, with the advent of modern financial</w:t>
      </w:r>
    </w:p>
    <w:p w:rsidR="00D7307E" w:rsidRPr="004033FC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, interest is an increasingly difficult concept. </w:t>
      </w:r>
      <w:r w:rsidRPr="004033FC">
        <w:rPr>
          <w:rFonts w:ascii="TimesNewRomanPSMT" w:hAnsi="TimesNewRomanPSMT" w:cs="TimesNewRomanPSMT"/>
          <w:sz w:val="24"/>
          <w:szCs w:val="24"/>
          <w:lang w:val="en-US"/>
        </w:rPr>
        <w:t>We turn now to these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4033FC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4033FC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3. Modern Financial Instruments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135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previous heading left open the definition of interest, that is,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characterization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payments as interest or something else. Other issues that have to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considered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international domain are the source rules, nonresident withholding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and deductions available to the payer for payments under modern financial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The specific focus of the discussion for the moment is direct investment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involving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related parties.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Because of the complexity of these issues, OECD countries are still searching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solutions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Hence, it is impossible to provide widely accepted methods that may be of use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developing and transition countries, but it is possible to suggest some partial solutions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note the problems that remain. The solutions that are adopted will need to be closely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related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the more general question of how modern financial instruments are dealt with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purely domestic cases to ensure that the domestic and international regimes are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consistent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If a narrow definition of interest is adopted in domestic tax law (which is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typical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case where new financial instruments have not been specifically addressed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system), then it will be a simple matter for the taxpayer to use some financial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does not generate interest but that is a functional equivalent so as to avoid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rules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refer to interest. For example, an interest swap arrangement can be structured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equivalent of a loan, but swap payments are not regarded as interest in many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(An interest rate swap is a financial transaction in which two parties agree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make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streams of payments to each other calculated by reference to an underlying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notional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principal amount; in its simplest form, it involves an agreement between two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make each other’s interest payments on their respective loans.) In this case, any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attempt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deal with thin capitalization will be aborted unless some general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rule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applied to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payment as interest in the particular circumstances.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If a broad definition of interest is adopted to deal with this and similar problems (such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payment or accrual under a financial arrangement widely defined), then it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necessary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adapt the source, withholding, deduction, and related party rules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broader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scope. One particular problem arises from the fact that tax consequences—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inclusions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income or deductions—under regimes dealing with modern financial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often occur on an accrual basis (i.e., on an internal-rate-of-return calculation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mark-to-market rule) without any actual payment. Lack of a payment poses problems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withholding taxes, for example.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Take the relatively straightforward case of a zero coupon bond where the issuer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receives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$100,000 on issue and undertakes to pay $161,051 on redemption of the bond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years. This transaction is the equivalent of a five-year loan of $100,000 at 10 percent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135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For a general discussion of domestic and international issues, see OECD, Taxation of New Financial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20"/>
          <w:szCs w:val="20"/>
          <w:lang w:val="en-US"/>
        </w:rPr>
        <w:t>Instruments (1994), International Fiscal Association, Tax Aspects of Derivative Financial Instruments 836,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Cahiers de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droit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fiscal international (1995); and Australian Treasury and Australian Taxation Office,</w:t>
      </w:r>
    </w:p>
    <w:p w:rsidR="00D7307E" w:rsidRDefault="00D7307E" w:rsidP="00D7307E">
      <w:pPr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Taxation of Financial Arrangements, </w:t>
      </w: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An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Issues Paper (1996).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annual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compound interest with interest payment only on redemption. In a number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this transaction would be treated as giving rise to interest income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a purely domestic case for the five tax years of $10,000, $11,000, $12,100,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$13,310, and $14,641, respectively.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If the holder of the bond is a nonresident, it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difficult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collect tax annually because there is no payment to subject to withholding tax,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although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it is possible to require the issuer to pay tax annually as if a payment had been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made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If nonresident withholding tax is postponed until the end of the five-year period,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nonresident may sell the bond to a resident before redemption and avoid the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assuming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there is no final interest withholding tax on payments to residents). If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collected from the issuer annually and the nonresident sells the bond to another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nonresident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the buyer and seller will have to be aware that the issuer has been paying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take account of the tax in the pricing of the bond; if the buyer and seller are resident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different countries, the issuer may have to adjust the amount of tax withheld after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sale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because of different tax rate limits in the tax treaties involved.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Mechanical solutions can be devised to deal with the problems of withholding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timing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deductions, for example, levying the nonresident withholding tax only 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payment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postponing deduction for the issuer until that time. These solutions usually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bring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them practical enforcement problems and borderline issues where different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regimes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are being applied in different cases. What, for example, is the effect on accrued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inclusions in income in this case where the nonresident transfers the bond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resident and an accrual system is in place between residents? Not surprisingly, even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relatively simple case of a zero coupon bond, there is little agreement as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appropriate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international tax regime and a large amount of diversity in practice. Some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do not even assimilate such a payment to interest, let alone deal with timing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withholding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issues.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 more sophisticated instruments, such as interest rate swaps and currency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hedges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, withholding tax can make legitimate transactions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uncommercial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reasons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similar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those discussed above in relation to interest withholding taxes on ordinary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loans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Many countries have therefore not extended their interest withholding tax to these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This limitation creates a relatively simple way to avoid withholding tax, especially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between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related parties. If, in response to this problem, withholding taxes on new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financial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instruments are directed to transactions between related parties, problems arise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back-to-back transactions.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136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 to source of income, it is possible to create special rules for payments under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new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financial instruments, even if the payments are not characterized as interest. Without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special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source rules or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recharacterization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interest so that the interest rule applies,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source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rules for whatever category the payments are placed in will govern (e.g., business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or capital gains), which may allow nonresident parties to avoid source tax on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equivalent to interest by manipulating the source rules.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Modern financial instruments may also allow parties, especially by combining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different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instruments, to make an equity position look like debt and vice versa.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international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context, this could lead to substantial erosion of the corporate tax base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relation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subsidiaries in developing and transition countries for what is essentially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equity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investment. The thin capitalization discussion above dealt with this problem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case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related parties, where, what is pure debt in a formal sense can be viewed in effect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share capital because no independent third party would have made a loan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situation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Modern financial instruments open this position up more generally even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portfolio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 (see below) and allow related parties in many cases to escape thin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capitalization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 treaties further complicate the international situation because they were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framed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before the era of financial innovation and use traditional categories. The OECD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Commentary on the interest article was recently changed to clarify the issue as follows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: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137</w:t>
      </w:r>
      <w:proofErr w:type="gram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The definition of interest in the first sentence of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para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.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3 does not normally apply to payments made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under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certain kinds of nontraditional financial instruments where there is no underlying debt (for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example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, interest rate swaps). However, the definition will apply to the extent that a loan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considered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to exist under a “substance over form” rule, an “abuse of rights” principle, or any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similar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doctrine.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The import of this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para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seems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be that hedges and swaps will not be regarded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giving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rise to interest, except when a transaction has been deliberately manipulated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substitute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future or a swap for what would otherwise have been a normal borrowing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operation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when domestic law has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recharacterized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transaction to give rise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interest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under an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measure. Although the Commentary does not say so,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payments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discounts under zero-coupon bonds seem to be accepted as interest for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purposes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tax treaties. The result is that many payments under modern financial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nonresidents will be characterized as business profits, capital gains,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other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income, and, for treaties in OECD Model form, the result is that the source country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 be able to levy tax unless the payments are connected with a permanent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establishment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nonresident in the country. To partially address concerns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related-party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area, the OECD Commentary on article 21 has also been revised to include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suggested treaty provision that will allow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recharacterization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payments in this kind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case.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138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Against this complex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backgound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what action can a developing or transition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take to protect itself against the sophistication of modern financial markets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multinational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enterprises? A number of factors suggest a focus on the deduction area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form of a general thin capitalization rule, combined with a comprehensive definition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 for the purposes of the rule to catch all payments under modern financial</w:t>
      </w:r>
    </w:p>
    <w:p w:rsid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the extent they would otherwise be deductible.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First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approach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not</w:t>
      </w:r>
      <w:proofErr w:type="spellEnd"/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contrary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tax treaties, whereas the scope for action in the withholding area is clearly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limited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treaties; second, back-to-back problems with related parties can be avoided;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third, the problem of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chacterization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between debt and equity in relation to direct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investors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addressed. How the definition of interest is framed for this purpose will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depend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 whether the country has comprehensive rules dealing with modern financial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instruments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general domestic purposes, in which case definitions from that regime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adopted. Experience to date suggests that a definition framed in general terms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preferable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a list of the kinds of instruments that are covered, given that the number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available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instruments increases daily.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 regards withholding tax and source rules, the tax treaty position means that all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can be done directly is to maintain the traditional withholding tax on interest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consider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extending it to zero-coupon bonds and similar instruments, although a number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technical problems will arise in doing so, as discussed above. The extract quoted from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OECD Commentary above strengthens the case for including a general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provision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domestic law so that it can be applied (especially in the case of related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) to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payments under modern financial instruments as interest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subject them to the interest withholding tax accordingly. Back-to-back transactions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make the involvement of related parties difficult to detect, but the possibility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applying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provision and any resulting penalties may provide an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incentive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related parties to fund local branches and subsidiaries by ordinary loans up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limit permitted by the thin capitalization rules and to pay withholding tax on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resulting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interest, thus limiting the problems.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4. Payments to Tax Havens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Where an industrial country resident makes a direct investment in a subsidiary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developing or transition country, the residence country of the parent will be operating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either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 exemption system or a foreign tax credit system to relieve double taxation. 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first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sight it seems, in an exemption system, that there is no residence country concern if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shifted out of the source country to the residence country because the income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exempt. This, however, is not the outcome. If the profit shifting involves transfer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pricing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whereby the parent charges inflated prices for the goods or services that 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provides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the subsidiary, the increase in the parent’s profits will be taxable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country. This result follows because the profits will not usually be regarded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income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sourced in the source country that attracts the exemption but rather as an increase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income sourced in the residence country (e.g., increased manufacturing profit) and so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there.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Similarly, if thin capitalization of the subsidiary by the parent is used to shift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out of the source country, the interest received will probably not be exempt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because the exemption usually extends only to business profits of a branch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dividends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 direct investments in subsidiaries, and not to interest taxed by low-rate gross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withholding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source country (especially where the tax rate has been limited by a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treaty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). While there may be reasons why a parent company would find it advantageous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shift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profits from the source country to the residence country (such as an imputation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system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that country that bases tax credits to shareholders on residence country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paid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), often this form of profit shifting will effect little tax saving. In a residence country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operating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foreign tax credit system, shifting profits out of the source country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 as a means of lowering tax in the source country will usually lead to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corresponding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increase in residence country taxation.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Accordingly, tax planning by multinational company groups is likely to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directed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simultaneously to reducing source country and residence country taxation, which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means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many cases that a third country needs to be found to which the profits can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shifted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Tax havens will be used for this end. In the transfer pricing case, one possibility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would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for the parent company to sell the goods to a related company in a tax haven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plus an artificially small profit (thus shifting part of the profit out of the residence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). The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 haven company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then on-sells the goods to the subsidiary in the source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at an inflated price that leaves little profit to that subsidiary and most of the profit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tax haven company. Similarly, in the thin capitalization case, the parent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company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may invest in a tax haven company by way of share capital (equity), and that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company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then lends to the subsidiary. Interest paid to the tax haven company will not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tax haven. In each case where the country of the parent company is an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exemption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country, the tax haven subsidiary may be able to pay a dividend tax free to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so that the profits end up with the parent company having suffered very little tax.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If the residence country of the parent company is a foreign tax credit country, the profits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often be retained in the tax haven company and used for group operations in 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without attracting tax in the parent’s residence. Again, the overall result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payment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little or no tax in the source or residence country.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Given that both the residence and source countries are suffering from this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haven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activity, action can be expected from both. The source country may deny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payments by resident companies or by branches of nonresident companies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havens or may permit deductions subject to special conditions.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139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 rule of this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kind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has a number of problems. It is necessary to have a list of countries that are treated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havens, and, although such lists are readily available, they need frequent updating.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rule reintroduces the problem of the back-to-back transaction, in that the tax-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havenrelated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company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thin capitalization case above can, for example, route the loan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through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bank in a country that is not a tax haven. Such a rule may also affect quite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legitimate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payments to tax havens (which in a number of cases are major financial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centers in their own right). Finally, if a tax treaty is in force with the tax haven,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 may fall foul of the nondiscrimination provision in the treaty (obviously, great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needed in negotiating a tax treaty with a tax haven).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Nevertheless, a rule focusing on payments to tax havens should be considered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form, for example, a tax clearance system for payments that, to the knowledge of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payer, are made directly or indirectly to tax haven entities.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Another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possibility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require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all companies and branches in the country to report selected information 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transactions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 tax havens or more broadly on international transactions.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140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5. Double-Dipping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Alternative techniques for reducing source and residence taxation that have been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used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recent times seek to double up on favorable tax rules in both source and residence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(generally referred to as double-dipping). A variety of methods are used.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One method is to exploit differences in the tax law treatments of the same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transaction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source and residence countries. A common example has been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financial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lease of equipment. Some countries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recharacterize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finance leases for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purposes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purchases and loans, while other countries treat them in the same way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operating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leases (i.e., the lessee is treated as paying rent and the lessor as being the owner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equipment).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141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result is that two countries can end up treating two separate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taxpayers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(one country the lessor and the other country the lessee) as the owner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equipment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entitled to depreciation and interest deductions. Given that rent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economic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terms is equivalent to depreciation and interest, the difference in treatment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should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 produce a substantial tax variance, but many countries have tax incentives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capital equipment in the form of accelerated depreciation, investment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credits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or allowances. Where two different taxpayers are treated as the owner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equipment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different countries and each is entitled to these incentives in one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the taxpayers effectively double up on the incentives in a way not intended by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either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It is not clear, however, which country is being disadvantaged in tax terms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which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might therefore be expected to take remedial action. One of the affected countries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could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enact a rule that investment incentives will not be available under its law when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similar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incentives are being obtained in respect of the equipment under the law of another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but the rule will lead to circularity if both countries adopt it. Alternatively,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may limit investment incentives to equipment used in the country, which will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work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most cases, although not for mobile equipment like airplanes. Another solution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each country to do away with or reduce the investment incentives, as in fact happened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many industrial countries during the 1980s (for more general policy reasons having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little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do with the problems of international tax avoidance). Where a developing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transition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 adopts this kind of investment incentive, a rule limiting the benefit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incentive to equipment used in the country is probably the easiest way to ensure that 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 suffer unduly from double-dipping of this form.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13"/>
          <w:szCs w:val="13"/>
          <w:lang w:val="en-US"/>
        </w:rPr>
        <w:t>140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For example, </w:t>
      </w:r>
      <w:proofErr w:type="spell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sched</w:t>
      </w:r>
      <w:proofErr w:type="spell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.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25A to the Company Income Tax Return in Australia requires extensive reporting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information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on international transactions, and a number of countries have special powers for collecting</w:t>
      </w:r>
    </w:p>
    <w:p w:rsidR="00D7307E" w:rsidRDefault="00D7307E" w:rsidP="00D7307E">
      <w:pPr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information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from foreign persons, AUS ITAA § 264A; USA IRC § 982.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Another form of double-dipping that has been much exploited involves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dualresidence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companies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Some countries permit grouping of the income and losses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commonly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owned resident companies (often achieved by permitting the transfer of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losses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related companies). If the same company is resident in two such countries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borrowed to finance group operations (whether in those countries or elsewhere), 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able to deduct the interest in each country. If it has little or no current income,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loss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will arise from the interest deductions that may be able to offset the income of two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related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companies, one in each country where the loss company is resident. Again, it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clear which country is the loser from this transaction. Nevertheless, a number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have enacted rules that prevent the losses of dual-residence companies arising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from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financing transactions being used to offset the income of any other related company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country; that is, the losses can be used only to offset future income of the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dualresidence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company.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142</w:t>
      </w:r>
      <w:proofErr w:type="gramEnd"/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If a developing or transition country does not permit the transfer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losses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within a group of companies, it is unlikely to suffer from this particular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doubledipping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problem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It follows that care should be exercised in permitting transfer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consolidation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losses for tax purposes among commonly owned resident companies.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deduction of the same expense in two countries is not of itself a cause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concern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Where a resident of a foreign tax credit country has a branch in another country,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will typically get deductions for the same expenses in the source and residence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These deductions will generally be offset, however, against the same income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each country is taxing, with the residence country giving double tax relief.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double-dipping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problem usually involves the offsetting of the same deductions against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different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income of different taxpayers. As there are probably as many ways for taxpayers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exploit differences in tax systems of different countries as there are differences, and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outcome is often ambiguous in terms of whether tax avoidance is involved and which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suffering an unfair reduction in tax, it is likely that double-dipping will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continue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be a difficult international tax problem without a clear solution.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6. Treaty Shopping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 treaties themselves may become the object of tax avoidance activities, even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though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they often express the purpose of preventing tax avoidance. This possibility was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course never intended by the original framers of model tax treaties and is not in itself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sufficient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reason for a country to reject the negotiation of tax treaties as their benefits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usually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outweigh the detriments. The possibility of abuse arises from two features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treaty network—its incomplete coverage of the world and its bilateral structure.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former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feature flows from the latter because it is not possible to negotiate with virtually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countries of the world at once (as contrasted, say, to the Uruguay Round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multilateral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trade negotiations of the General Agreement on Tariffs and Trade); the latter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regarded as flowing from the wide variations in tax systems around the world, so that it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felt necessary for each country to handcraft a tax treaty accommodation with 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one by one.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 resident of a country that does not have a tax treaty with a particular developing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transition country can simply incorporate a subsidiary in another country that does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usually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one with which the investor’s country also has a treaty) and route its investment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through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subsidiary, which will be entitled to the reduced tax rates and 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protections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available under the treaty. Alternatively, a resident of a country with which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developing or transition country does have a treaty may seek what it regards as better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treatment under another tax treaty by the same route.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For example, the treaty between the investor’s country and country </w:t>
      </w:r>
      <w:r w:rsidRPr="00D730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X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may have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10 percent rate limit on royalty payments. If that investor can find another country that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tax treaty with country </w:t>
      </w:r>
      <w:r w:rsidRPr="00D730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X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 contains a zero tax rate on royalties, then it will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possible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route a licensing transaction through a subsidiary in that country and eliminate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source country royalty tax; if that third country in turn has a treaty with the investor’s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containing a zero tax rate on royalties, it will be possible in turn to pay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royalty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 to the investor without tax in that country. These examples assume that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are deductible in each country by the person who is paying them.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nondiscrimination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article of tax treaties will normally ensure that they are deductible 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same basis as royalties paid domestically, so that the assumption will be correct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most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cases.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This kind of practice is known as “treaty shopping.” A country can prevent treaty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shopping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seeking to ensure that its treaties with other countries are uniform in their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elements, especially the tax rate limits on interest and royalties and the definition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permanent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establishment. If all treaties to which country </w:t>
      </w:r>
      <w:r w:rsidRPr="00D730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X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 a party have a 10 percent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limit on royalties, for example, the planning in the second example in the previous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para</w:t>
      </w:r>
      <w:proofErr w:type="spellEnd"/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would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 be possible. Many countries have been able to achieve this consistency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their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treaty negotiations and have thereby reduced the problems of treaty shopping.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Nonetheless, the possibility remains that residents of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nontreaty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countries will get treaty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benefits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through related companies in treaty countries.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One way to deal with the problem is to insert a general provision in tax treaties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denying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treaty benefits in such cases. The United States is the only country to practice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approach in a comprehensive way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143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although some other countries routinely insert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more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limited treaty abuse provisions in specific articles of treaties.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144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Commentary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article 1 of the OECD Model contains a number of possible provisions for this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purpose.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145</w:t>
      </w:r>
      <w:proofErr w:type="gramEnd"/>
      <w:r w:rsidRPr="00D7307E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Developing and transition countries may instead prefer to rely on general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13"/>
          <w:szCs w:val="13"/>
          <w:lang w:val="en-US"/>
        </w:rPr>
        <w:t>143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See U.S. Model Income Tax Convention of Sept. 20, 1996, art.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22, Limitation of Benefits.</w:t>
      </w:r>
      <w:proofErr w:type="gram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144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The United Kingdom includes special rules in the interest and royalty articles; the beneficial owner rule</w:t>
      </w:r>
    </w:p>
    <w:p w:rsidR="00D7307E" w:rsidRDefault="00D7307E" w:rsidP="00D7307E">
      <w:pPr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arts. 10–12 of the OECD Model also limits treaty shopping.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provisions in domestic legislation to deal with treaty abuse. While a view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developing that such provisions are not inconsistent with tax treaties, it is probably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safer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spell out in the negotiations that the general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provision of domestic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law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will be applied to treaty abuses and to ensure that the general priority rule for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treaties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domestic law makes this relationship clear.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146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7. Combinations of Tax Avoidance Techniques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International tax avoidance in many cases will utilize a combination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techniques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outlined above. Thus, treaty shopping activities will often go hand in hand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use of tax havens and the interaction of tax treaties and domestic law.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example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and by way of extension of the case of treaty shopping in the royalties area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discussed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above, some countries do not in their domestic law charge withholding tax 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payments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royalties by residents to nonresidents for reasons that have been discussed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earlier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If such a country has a treaty with a developing or transition country containing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zero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royalty rate, a nonresident investor can incorporate a company there to receive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royalties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from the developing or transition country and then arrange to have the royalties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paid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a tax haven company. If the royalties paid to this company equal the royalties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received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the company in the tax treaty country, no tax will be collected in that country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because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deduction for the royalties paid will wipe out the royalty income received and</w:t>
      </w:r>
    </w:p>
    <w:p w:rsid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withholding tax will be levied on the outgoing royalties.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result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will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achieved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no tax at all being levied on the royalties (unless the residence country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ultimate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owner of the tax haven company has a controlled foreign company regime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kind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discussed below).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financing of company groups often involves variations on double-dipping,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treaty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shopping, and tax haven use. For example, a parent company may borrow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finance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investment by way of share capital in a tax haven finance subsidiary, which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turn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lends to an operating subsidiary in a developing or transition country through a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backto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-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back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transaction with a bank in a country that has a tax treaty with the developing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transition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country, lowering the rate of withholding tax on outgoing interest. If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 of the parent is an exemption country but nonetheless permits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deduction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interest paid on the loan taken out to finance the investment in the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haven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subsidiary, it is likely that the dividends received from the tax haven subsidiary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representing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interest received by that subsidiary) will be exempt in the parent’s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country, and yet interest deductions may have been obtained in two countries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that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parent and the operating subsidiary) for offset against different income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different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taxpayers.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Because of the sophistication of international tax planning and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frequent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combination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domestic law, tax havens, and tax treaties, the taxation of nonresident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direct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 by developing and transition countries is not an easy task. An array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provisions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domestic legislation (such as provisions on transfer pricing, thin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146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supra 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note 95; Australia makes this relationship clear in International Tax Agreements Act 1953</w:t>
      </w:r>
    </w:p>
    <w:p w:rsidR="00D7307E" w:rsidRDefault="00D7307E" w:rsidP="00D7307E">
      <w:pPr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0"/>
          <w:szCs w:val="20"/>
          <w:lang w:val="en-US"/>
        </w:rPr>
        <w:t>s</w:t>
      </w:r>
      <w:proofErr w:type="gramEnd"/>
      <w:r w:rsidRPr="00D7307E">
        <w:rPr>
          <w:rFonts w:ascii="TimesNewRomanPSMT" w:hAnsi="TimesNewRomanPSMT" w:cs="TimesNewRomanPSMT"/>
          <w:sz w:val="20"/>
          <w:szCs w:val="20"/>
          <w:lang w:val="en-US"/>
        </w:rPr>
        <w:t xml:space="preserve"> 4(2). </w:t>
      </w:r>
      <w:r w:rsidRPr="00D7307E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also 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GEO TC § 4(8), (9).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capitalization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tax haven payments, and a general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rule) and great care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negotiation of tax treaties will assist in dealing with the differing kinds of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planning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 developing or transition country should make clear through explanatory 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administrative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material that it does not intend to use (the threat of) multiple taxation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penalize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taxpayers. If it is felt that the problems of international tax avoidance justify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severer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penalties than normal, then the tax penalty regime should provide for this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directly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Similarly, if higher levels of disclosure of information are required in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international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area, the legislation should provide for such disclosure explicitly. Care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drafting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such provisions is necessary to ensure that they are not in breach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nondiscrimination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provisions in tax treaties. For this reason as well as the considerations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raised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relation to residents below, the provisions should apply to both inward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outward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investment cases.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Stricter enforcement regimes may be viewed adversely by foreign investors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temper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their willingness to invest in the country in question. Each developing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transition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 has to judge this issue for itself. The same reluctance may also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triggered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legislation directed at international tax avoidance practices. One possible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response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(effectively giving in to the difficulties of enforcing international tax rules) is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include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provisions of the kinds outlined above in domestic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legislation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so to allow nonresident direct investors to determine their tax level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themselves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Alternatively, such provisions can be coupled with special tax regimes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foreign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 conferring tax holidays and other tax privileges on them in specified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cases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. The alternative approach nominally gives control over the targeting of the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benefits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for foreign investors to the developing or transition country, although in practice,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noted in chapter 23, it generally leads to other forms of tax avoidance.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8. Nonresident Portfolio Investors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position of nonresident portfolio investors differs substantially from that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direct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investors. Because direct investors have control over the transactions undertaken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within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company group, they can engage in transfer pricing, thin capitalization, and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like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ways not generally available to the portfolio investor. It is possible for portfolio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investors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employ tax havens and treaty shopping in some of their activities (e.g., using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treaties to obtain lower withholding tax rates on interest), but generally the scale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investment in a particular company by a particular investor is unlikely to justify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elaborate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avoidance of the kind that may be practiced by direct investors.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tax planning of the portfolio investor is likely to consist of portfolio choice.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 example, purchasing shares in a company resident in a developing or transition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exposes the investor to the corporate tax and the withholding tax on portfolio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dividends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which is probably higher than the tax on dividends paid on direct investment.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Some portfolio investors (e.g., tax-exempt pension funds) will be tax privileged in their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countries and so may not benefit greatly from double tax relief in this case.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Failing special provisions in the law of the source or residence country (or both, possibly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through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tax treaty) to deal with the international implications of its special tax position,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portfolio investor may adopt a different investment strategy, such as investing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(profit-related) debt of the company resident in the source country and options over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unissued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capital of the company. In this way, it benefits from increases in the value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company’s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shares and a share in its income stream without being exposed to much if any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source country (interest withholding tax probably being the only tax applicable)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enjoying its tax privileges in the residence country. With the advent of modern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financial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instruments, more sophisticated strategies are available to the portfolio investor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wishes to be exposed to a particular market or company without the accompanying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source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liabilities.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Often, the influence of the portfolio investor will be felt not directly but indirectly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source country through the foreign direct investor responding to the needs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portfolio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investor. Since portfolio investment opportunities are often limited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developing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transition countries (because of the lack of a stock exchange or very thin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trading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whatever stock market exists), portfolio investors more often than not will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multinational direct investors operating in the countries (and many 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countries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 as a way of exposing themselves to investment in many countries and at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same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time minimizing risk by having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multicountry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coverage in the investment. As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totality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investment in many multinational companies will be dominated by institutional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portfolio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investors, such as pension schemes, banks, and insurers, the companies are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likely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adapt their tax profile to suit the institutional investors. If the preference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institutional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 is to have low taxed returns because of their privileged tax position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their residence countries, the optimal tax strategy for the multinational company may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reduce its tax liabilities in all countries, which takes us back to the beginning of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discussion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this section of the chapter.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Increasingly in recent times, international investment has developed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many tax</w:t>
      </w:r>
      <w:proofErr w:type="gram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niches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with offshore funds offering specialized investment products designed to appeal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particular kinds of investors. The discussion of capital flight above dealt with one kind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such fund in the case of resident portfolio investors. Here, the discussion concerns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similar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funds designed for nonresident portfolio investors. To the extent that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multinationals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do not respond to the tax situations of their different classes of portfolio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it is often possible to find a fund that consolidates portfolio investors with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similar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and investment profile and develops investment products that suit that profile.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While it often may not be worthwhile for a single portfolio investor to use treaty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shopping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tax havens for its operations, it is for such offshore funds. Hence, the other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major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effect of portfolio investors in developing and transition countries is being felt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through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operations of such funds (with many specializing in investment in (particular)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developing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or transition countries). To the extent that this investment is highly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sensitive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there is little that a developing or transition country can do to prevent offshore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fund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planning in which the nonresident portfolio investor decides to invest in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particular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fund or to withdraw from the fund.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major problem that the nonresident portfolio investor poses is the potentially</w:t>
      </w:r>
    </w:p>
    <w:p w:rsidR="00D7307E" w:rsidRDefault="00D7307E" w:rsidP="00D7307E">
      <w:pPr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deleterious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incentives that the investor’s tax position creates for direct investors to reduce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source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country taxation. Hence, additional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provisions are not necessary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law to deal with the tax position of the portfolio investor beyond what has been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canvassed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earlier discussion. If the source country specifically wants to cater for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problems faced by foreign pension funds and the like, some suggestions have already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been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made.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D7307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9. Resident Investors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Although developing and transition countries will most often encounter the </w:t>
      </w: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forms</w:t>
      </w:r>
      <w:proofErr w:type="gram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of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tax avoidance outlined above in the case of nonresident direct investors, many of them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equally available to residents of the developing or transition country (resident in the</w:t>
      </w:r>
    </w:p>
    <w:p w:rsid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sense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the ultimate investor is a resident of the country and is not foreign owned).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is</w:t>
      </w:r>
      <w:proofErr w:type="spellEnd"/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necessary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this case to distinguish two investment situations, first, where the ultimate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is made by the resident overseas and, second, where the ultimate investment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made in the developing or transition country itself.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 first case is the more obvious but less frequent in practice from the point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view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of the developing or transition country. A resident engaging in direct investment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overseas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can engage in transfer pricing and the other kinds of activities outlined above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dual purpose of reducing the tax in the country of source (where the investment is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made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) and in the country of residence. Avoidance of resident country tax will often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involve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diversion of income from the country of residence to tax havens, combined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with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manipulation of the system of double taxation relief. Avoidance of source country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these kinds of cases is not directly the concern of the residence country, its main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concern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being to protect its own taxing rights. The mechanism to control tax haven use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by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residents that is increasingly being used in advanced market economies is to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residents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on their share of low-taxed foreign income derived by nonresident companies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controlled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the residents. These “controlled foreign company” regimes are usually very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complex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operation.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147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 regards the second case, initially it seems unlikely that a resident of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developing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or transition country would get involved in international tax avoidance for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that country. In fact, however, a resident direct investor can easily appear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 nonresident direct investor by channeling investment into the country through a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nonresident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company that the resident owns. By this means, the possibilities of reducing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tax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the country by transfer pricing, thin capitalization, tax havens, and treaty shopping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become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possible in a similar way as for true nonresident direct investors. In addition,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resident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can also by this route seek to enjoy any tax concessions given specifically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nonresident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investors.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This possibility of residents assuming the guise of nonresidents is closely linked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to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capital flight issue canvassed earlier, at least in transition countries. Capital flight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13"/>
          <w:szCs w:val="13"/>
          <w:lang w:val="en-US"/>
        </w:rPr>
        <w:t>147</w:t>
      </w:r>
      <w:r w:rsidRPr="00D7307E">
        <w:rPr>
          <w:rFonts w:ascii="TimesNewRomanPSMT" w:hAnsi="TimesNewRomanPSMT" w:cs="TimesNewRomanPSMT"/>
          <w:sz w:val="20"/>
          <w:szCs w:val="20"/>
          <w:lang w:val="en-US"/>
        </w:rPr>
        <w:t>The seminal comparative work on these regimes is Brian Arnold, The Taxation of Controlled Foreign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20"/>
          <w:szCs w:val="20"/>
          <w:lang w:val="en-US"/>
        </w:rPr>
        <w:t>Corporations: An International Comparison (1986); for a more recent summary of current practice, see</w:t>
      </w:r>
    </w:p>
    <w:p w:rsidR="00D7307E" w:rsidRDefault="00D7307E" w:rsidP="00D7307E">
      <w:pPr>
        <w:rPr>
          <w:rFonts w:ascii="TimesNewRomanPSMT" w:hAnsi="TimesNewRomanPSMT" w:cs="TimesNewRomanPSMT"/>
          <w:sz w:val="20"/>
          <w:szCs w:val="20"/>
          <w:lang w:val="en-US"/>
        </w:rPr>
      </w:pPr>
      <w:r w:rsidRPr="00D7307E">
        <w:rPr>
          <w:rFonts w:ascii="TimesNewRomanPSMT" w:hAnsi="TimesNewRomanPSMT" w:cs="TimesNewRomanPSMT"/>
          <w:sz w:val="20"/>
          <w:szCs w:val="20"/>
          <w:lang w:val="en-US"/>
        </w:rPr>
        <w:t>OECD, Controlled Foreign Company Legislation (1996).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was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the first reaction of many wealthy people there to the uncertainty and instability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created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by the transition. As the situation has clarified to the extent that it is possible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conduct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profitable business operations in the countries, it seems likely that a number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these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people have reintroduced their capital into businesses as disguised foreign direct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investment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. While the capital is thus </w:t>
      </w:r>
      <w:proofErr w:type="spell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reexposed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to the risks that it was originally fleeing,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ownership of the capital is usually hidden (as it often originates in tax havens), tax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concessions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may be available, and further flight remains possible to the extent that the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capital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remains mobile. There is some evidence that much of this capital is invested in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import-export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and similar activities that do not anchor the capital in the same way as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investing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in large-scale plant and equipment would.</w:t>
      </w:r>
      <w:r w:rsidRPr="00D7307E">
        <w:rPr>
          <w:rFonts w:ascii="TimesNewRomanPSMT" w:hAnsi="TimesNewRomanPSMT" w:cs="TimesNewRomanPSMT"/>
          <w:sz w:val="16"/>
          <w:szCs w:val="16"/>
          <w:lang w:val="en-US"/>
        </w:rPr>
        <w:t>148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D7307E">
        <w:rPr>
          <w:rFonts w:ascii="TimesNewRomanPSMT" w:hAnsi="TimesNewRomanPSMT" w:cs="TimesNewRomanPSMT"/>
          <w:sz w:val="24"/>
          <w:szCs w:val="24"/>
          <w:lang w:val="en-US"/>
        </w:rPr>
        <w:t>For both kinds of tax avoidance by residents, the provisions discussed above—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such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as rules on transfer pricing, thin capitalization, tax havens, and general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antiavoidance</w:t>
      </w:r>
      <w:proofErr w:type="spell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—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are available to deal with some of the problems. It was partly because of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need to control circular transactions of residents taking capital offshore and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reintroducing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it into the country that it has been suggested that many of the rules should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not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be directed to nonresidents. Eventually, controlled foreign company regimes will be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needed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, despite the difficulties that they entail. For the time being, the embryonic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measure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has been outlined above for the capital flight case can at least be adopted to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signal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a developing or transition country is aware of the international tax avoidance</w:t>
      </w:r>
    </w:p>
    <w:p w:rsidR="00D7307E" w:rsidRPr="00D7307E" w:rsidRDefault="00D7307E" w:rsidP="00D730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D7307E">
        <w:rPr>
          <w:rFonts w:ascii="TimesNewRomanPSMT" w:hAnsi="TimesNewRomanPSMT" w:cs="TimesNewRomanPSMT"/>
          <w:sz w:val="24"/>
          <w:szCs w:val="24"/>
          <w:lang w:val="en-US"/>
        </w:rPr>
        <w:t>techniques</w:t>
      </w:r>
      <w:proofErr w:type="gramEnd"/>
      <w:r w:rsidRPr="00D7307E">
        <w:rPr>
          <w:rFonts w:ascii="TimesNewRomanPSMT" w:hAnsi="TimesNewRomanPSMT" w:cs="TimesNewRomanPSMT"/>
          <w:sz w:val="24"/>
          <w:szCs w:val="24"/>
          <w:lang w:val="en-US"/>
        </w:rPr>
        <w:t xml:space="preserve"> that residents may use and proposes to combat them.</w:t>
      </w:r>
    </w:p>
    <w:p w:rsidR="00D7307E" w:rsidRPr="00D7307E" w:rsidRDefault="00D7307E" w:rsidP="00D7307E">
      <w:pPr>
        <w:rPr>
          <w:rFonts w:cs="TimesNewRomanPSMT"/>
          <w:sz w:val="24"/>
          <w:szCs w:val="24"/>
          <w:lang w:val="en-US"/>
        </w:rPr>
      </w:pPr>
    </w:p>
    <w:p w:rsidR="00D7307E" w:rsidRPr="00D7307E" w:rsidRDefault="00D7307E">
      <w:pPr>
        <w:rPr>
          <w:lang w:val="en-US"/>
        </w:rPr>
      </w:pPr>
    </w:p>
    <w:sectPr w:rsidR="00D7307E" w:rsidRPr="00D7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7"/>
    <w:rsid w:val="00115BDB"/>
    <w:rsid w:val="001B4814"/>
    <w:rsid w:val="004033FC"/>
    <w:rsid w:val="00D7307E"/>
    <w:rsid w:val="00F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9640</Words>
  <Characters>54949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5</cp:revision>
  <dcterms:created xsi:type="dcterms:W3CDTF">2022-10-04T07:01:00Z</dcterms:created>
  <dcterms:modified xsi:type="dcterms:W3CDTF">2022-10-11T12:27:00Z</dcterms:modified>
</cp:coreProperties>
</file>